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ahoma" w:hAnsi="Tahoma" w:eastAsia="Tahoma" w:cs="Tahoma"/>
          <w:b/>
          <w:bCs/>
          <w:sz w:val="26"/>
          <w:szCs w:val="26"/>
        </w:rPr>
        <w:t xml:space="preserve">ФИО: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Шаль Олеся Васильевна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 проекта: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SMMена двух наук "ХимБио"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Регион проекта: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Ханты-Мансийский автономный округ - Югра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Логотип проекта: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есть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Контакты: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+7 (982) 213-94-34, olesja-070391@mail.ru</w:t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"Общее"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"Общая информация"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Масштаб реализации проекта: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Муниципальный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Дата начала и окончания проекта: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09.2023 - 03.2024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Блок "Руководитель проекта"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Опыт руководителя: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Заместитель директора по научно-методической работе и по совместительству учитель химии высшей квалификационной категории «Пойковской средней общеобразовательной школы 2».  - на протяжении 5-и лет является экспертом и выступает в качестве жюри на региональном и Всероссийском уровнях химических турниров школьников; - на протяжении 5 лет является куратором команд школьников на химических турнирах, где ребята занимают призовые места как в командном, так и в личном зачётах.В 2021 году команда "Мимимицинчики" под моим руководством  была приглашена на международный химический турнир, как представитель от России, где достойно показали свои знания не только по дисциплинам естественнонаучного цикла, а также знания английского языка;  Являюсь семейным волонтёром, а также участником проекта #Учительволонтер2020, оказывая помощь детям ХМАО- Югры при изучении химии на безвозмездной основе. Активно принимает участие в благотворительных акциях как Нефтеюганского района, так и Ханты-Мансийского округа-Югры. В 2021 году выступала в качестве модератора онлайн встречи губернатора Натальи Владимировны Комаровой с жителями Нефтеюганского района. - являюсь руководителем школьных волонтерских движений "Твори добро" и  "Химическая лаборатория"; - руководитель нескольких образовательных проектов, таких как "Все в твоих руках", "Connect зона" и т.д. -ежегодно прохожу курсы повышения квалификации.  Активно принимаю участие в конкурсах профессионального мастерства, имею следующие награды: -2 место в региональном этапе конкурса педагогического мастерства «Учитель года-2019»; -3 место в региональном этапе конкурса среди молодёжи «Молодежная Лига управленцев Югры-2020» -победитель конкурса на присуждение премии педагогическим работникам из средств федерального бюджета в 2021 году (Премия президента); -победитель регионального и Всероссийского этапов конкурса педагогического мастерства «Мой лучший урок-2022»; -обладатель медали «За службу образованию»; -Обладатель Гранта Главы Нефтеюганского района- 2022; Автор проекта- победителя в 202 2 году форума молодежи федерального округа "УТРО"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 функционала руководителя: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Распределение ролей между участниками команды проекта, разработчик кейсов по химии,  эксперт при защите кейсов участников профильной смены.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Адрес регистрации руководителя проекта: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628331, РФ, Тюменская область, ХМАО-Югра, Нефтеюганский район,  пгт. Пойковский, 4 микрорайон, дом 13, квартира 71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 резюме: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есть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Видео-визитка (ссылка на ролик на любом видеохостинге):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https://vk.com/video159190132_456239459?access_key=bbba8c24b36b06184b</w:t>
      </w:r>
    </w:p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"О проекте"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"Информация о проекте"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Краткая информация о проекте: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SMMена  двух наук "ХимБио" — это профильный 3-х дневный интенсив в формате  командно-личного соревнования среди обучающихся 8-11-х классов по решению химико-биологических кейсов (задач из области химической и биологической науки). В рамках интенсива будет организовано обучение базовым SMM навыкам школьников  ведению социальных сетей с целью популяризации знаний по химии и биологии. Решенные кейсы школьники могут использовать при  участии в конкурсах исследовательских работ или проектов в дальнейшем, участвовать обучающиеся смогут как индивидуально, так и в группе. Продуктом реализации данного проекта будет турнирный бой между командами, по защите индивидуальных кейсов химико-биологического направления. Турнирное движение в Нефтеюганском районе набирает обороты, способствует развитию функциональной грамотности обучающихся,что особенно важно в условиях обновленных федеральных государственных стандартов в образовании. Химические турниры пользуются спросом среди школьников и учителей района, а аудитория постоянно увеличивается. Начиная с 2018 года от Нефтеюганского района ежегодно принимала участие в региональном этапе 1 команда Пойковской средней общеобразовательной школы № 2,  становясь призером на региональном этапе. В 2020 году с Нефтеюганского района от образовательной организации  НР МОБУ "ПСОШ № 2"  выступило уже 2 команды , одна из которыйх стала победителем, а вторая команда заняла 2 место. В 2022 году с Нефтеюганского района от образовательной организации  НР МОБУ "ПСОШ № 2" выступило 3 команды и одна команда  от образовательной организации  НР МОБУ "ПСОШ № 1". Поэтому одной из задач данного проекта является популяризация турнирного движения среди обучающихся и учителей всего Нефтеюганского района на территории которого находится 13 образовательных организаций .  Профильная смена "ХимБио" - станет значимым событием, на котором соберутся ребята, заинтересованные естественнонаучным направлением, которое формируют ядро молодых профессионалов, обладающих навыками решения реальных задач и включенными в диалог с действующими профессионалами ПАО РН-Юганскнефтегаз", которые  являются спонсорами образовательной организации. SMMена двух наук "ХимБио"- как точка притяжения, откроет новые возможности для участников  и местного сообщества. В рамках проведения профильной смены состоятся: 
- практический тур участников профильной смены (интенсива);
- научные бои, в течение которых команды вступят в дискуссию с соперниками перед компетентными жюри из химиков-профессионалов, выполняя роль докладчика, оппонента и рецензента;
 - образовательные, познавательные и досуговые мероприятия, призванные сподвигнуть участников к образованию связей внутри сообщества и углубить их подходы к решению реальных задач;
 - методическая поддержка как школьников после интенсива при участии в химических турнирах, конкурсах и исследовательских и проектных работ.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 проблемы, решению/снижению которой посвящен проект: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Реализация планов правительства РФ по реорганизации промышленного и научного сектора,перехода от сырьевой экономики к высокотехнологичной, требует принятия комплексных мер как в сфере науки, так и в сфере образования (http://pravo.gov.ru/proxy/ips/?docbody=&amp;firstDoc=1&amp;lastDoc=1&amp;nd=102416645). В том числе необходимо много грамотных, разносторонне подготовленных специалистов в области технических и естественных наук. Сегодня происходит увеличение госзаказа в ВУЗы РФ по приоритетным направлениям подготовки (https://minobrnauki.gov.ru/press-center/news/novosti-ministerstva/66021/), однако у школьников не наблюдается достаточной мотивации и заметной заинтересованности в обучении на направлениях естественных и технических наук при их высоком потенциале. Во многом это связано с "бумажностью"  школьной программы, оторванностью ее от реальной жизни и недостаточностью школьного курса химии и биологии для полноценного восприятия предметов, что отмечают многие эксперты в области образования. Важно, чтобы учащиеся самостоятельно пробовали решать задачи, представляющие собой реальные проблемы науки и техники, в таком случае для них будет очевиднее, чем же они как профессионалы смогут заняться в будущем. Поэтому мы предлагаем организовать соревнование по решению задач, не имеющих точного ответа, а являющихся проблемами, требующими анализа, вывода гипотезы и доказательства решения. Это серьезное отличие профильной смены в формате турнира и существующих форматы доп. образования детей, таких как олимпиады, научно-практические конференции и т.п. Второе различие в том, что в XXI веке, когда информация становится доступной, важнее то, каким образом ты ей оперируешь, чем то, каким объемом обладаешь. Соответственно появилась потребность в создании и развитии такого формата, который помимо знаний по предмету будет требовать от участников процесса новых навыков работы с информацией и умений, выходящих за пределы предмета. Именно в дискуссии между командами перед лицом компетентного жюри, формируются навыки, необходимые современным специалистам: критическое мышление, умение убедительно доказывать собственную точку зрения, работать в команде и многие другие. Процесс поиска решения формирует умение выдвигать научную гипотезу и отстаивать ее в ходе дискуссии, а также требует от участника широкого кругозора и нетривиального подхода к решению задачи. Проведение такого мероприятия как SMMена двух наук "ХимБио", позволит комплексно повысить уровень вовлеченности школьников Нефтеюганского района в исследовательскую работу, их интерес к специальностям, связанным с естественными науками, изменит позиции в процессе обучения на активную при поддержке педагогов и формирует видение профессиональной траектории развития в рамках ХМАО-Югры.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Основные целевые группы, на которые направлен проект: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Обучающиеся 8-11 классов Нефтеюганского района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Основная цель проекта: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Распространение и популяризация научных знаний среди молодежи по средствам проведения 3-х дневной профильной смены двух наук "ХимБио"  для  30 обучающихся 8-11 классов Нефтеюганского района на территории городского поселения Пойковский в ноябре 2023 года с продвижением естественнонаучного движения  в социальных сетях.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Опыт успешной реализации проекта: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Команда школы на протяжении 7-ми лет является участником различных турниров. На протяжении 6-ти лет становилась победителем и призером Ханты-Мансийского химического турнира. На протяжении 3-х лет становилась призер заключительного этапа Межрегионального химического турнира (г. Москва) и  Всероссийского химического турнира школьников (г. Санкт-Петербург, г. Новосибирск). В 2021 году команда "Мимимицинчики" под руководством Шаль Олеси Васильевны стала представителем России на международном химическом турнире (г.Краков). Шаль Олеся Васильевна на протяжении 7-ми лет входит в состав экспертов химических турниров регионального и всероссийского уровней  награждена благодарственными письмами за участия в качестве жюри Межрегионального химического турнира (МХТ) и Всероссийского химического турнира школьников (ВХТШ). В 2022 году Шаль Олеся Васильевна защитила проект и стала обладателем гранта в 2022 году форума молодежи федерального округа "УТРО" для реализации проекта "Финал Уральского химического турнира школьников", который прошел в декабре 2022 года на территории городского поселения Пойковский и собрал 16 лучших команд Уральского федерального округа. При реализации проекта выпускники нашей образовательной организации, которые ранее принимали участие в качестве участников турнира, почувствуют себя наставниками и модераторами команд- участников профильной смены "SMMена двух наук "ХимБио"". На данный момент это выпускники Санкт-Петербургского горного университета, Тюменского индустриального университета и Югорского государственного университета. Также ребята войдут в состав экспертов, оценивающих практический тур.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Перспектива развития и потенциал проекта: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Перспектива развития проекта:  
 1.Увеличение числа участников за счет вовлечения ранее не участвовавших 11 учреждений Нефтеюганского района , популяризирую данное движение через социальные сети. 
 2. Создание муниципального очного этапа на базе образовательного учреждения для организации локальных турниров (профильных смен) способствующих повешению интереса к нему и возможности участия малоимущих граждан (исключаются транспортные расходы).  
3. Формирование традиции турнирного движения на муниципальном уровне, посредством участия в профильных сменах, среди обучающихся Нефтеюганского района, заинтересованных в данном формате и регулярно участвующих в проекте. Создание сообщества заинтересованных людей способствует автономной жизни проекта и его росту как минимум за счет "сарафанного радио" .  В дальнейшем у талантливых школьников появляется возможность принимать участия в заключительных этапах различных турниров, получая дополнительные баллы к ЕГЭ, а также  поступить в престижные ВУЗы России без экзаменов, что привлечет дополнительных участников и масштабирует проект на территории района.  
4. Вовлечение индустриальных и научных партнеров не только в качестве членов жюри, но и в качестве постоянных партнеров, которые заинтересованы в долгосрочном развитии кадров. Планирование долгосрочных программ поддержки со стороны Санкт-Петербургского государственного университета, Югорского государственного университета, Тюменского государственного университета, Департамента образования Нефтеюганского района и ПАО "РН-Юганскнефтегаз", с целью усиления профориентационной работы образовательной организации, а также увеличения качества образования выпускников Нефтеюганского района
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Блок "Задачи"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 задачу: </w:t>
      </w:r>
    </w:p>
    <w:p/>
    <w:p/>
    <w:p>
      <w:r>
        <w:rPr>
          <w:rFonts w:ascii="Tahoma" w:hAnsi="Tahoma" w:eastAsia="Tahoma" w:cs="Tahoma"/>
          <w:b/>
          <w:bCs/>
          <w:sz w:val="36"/>
          <w:szCs w:val="36"/>
        </w:rPr>
        <w:t>Блок "География проекта"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Добавить: </w:t>
      </w:r>
    </w:p>
    <w:p/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"Команда"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"Команда"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Добавить: </w:t>
      </w:r>
    </w:p>
    <w:p/>
    <w:p/>
    <w:p>
      <w:r>
        <w:rPr>
          <w:rFonts w:ascii="Tahoma" w:hAnsi="Tahoma" w:eastAsia="Tahoma" w:cs="Tahoma"/>
          <w:b/>
          <w:bCs/>
          <w:sz w:val="36"/>
          <w:szCs w:val="36"/>
        </w:rPr>
        <w:t>Блок "Команда"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"Наставники"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Добавить: </w:t>
      </w:r>
    </w:p>
    <w:p/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"Результаты"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"Дата плановых значений результатов Предоставления субсидии по годам (срокам) реализации Соглашения"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Дата плановых значений результатов Предоставления субсидии по годам (срокам) реализации Соглашения: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31.03.2024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Блок "Количество мероприятий, проведенных в рамках проекта"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Плановое количество: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11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Ед. измерения: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Ед.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Крайняя дата проведения: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31.03.2024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Блок "Количество участников мероприятий, вовлеченных в реализацию проекта"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Плановое количество: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97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Ед. измерения: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Чел.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Блок "Количество публикаций о мероприятиях проекта в средствах массовой информации, а также в информационно телекоммуникационной сети «Интернет»"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Плановое количество: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22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Ед. измерения: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Ед.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Блок "Количество просмотров публикаций о мероприятиях проекта в информационно телекоммуникационной сети «Интернет»"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Плановое количество: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8800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Ед. измерения: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Ед.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Социальный эффект: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В Нефтеюганском районе формируется сообщество профессионалов в области химии в формате «школа-ВУЗ-предприятие», которое способствует развитию науки и промышленности. А именно: 1. У школьников появляется опыт проблемного обучения в области химии, они больше не боятся задач, не имеющих решения. 2. Педагоги могут использовать технологию турнира в образовательном процессе и поддержать своих учеников во время решения задач открытого типа, что особенное важно в условиях введения обновленных ФГОС. 3. Участники погрузились в профессиональную среду и имеют представление о будущих местах работы в рамках химии. 4. Созданы связи между учениками и студентами-наставниками для помощи формировании траектории развития. 5. Участники находятся в диалоге с профессионалами, смотрят на профессию через призму успешных представителей. 6. Широкая общественность знает о существовании Турнира, как способа образования через открытые задачи и приобщения к профессиональному сообществу.</w:t>
      </w:r>
    </w:p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"Календарный план"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"Задачи"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 задачу: </w:t>
      </w:r>
    </w:p>
    <w:p/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"Медиа"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"Ресурсы"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 ресурс: </w:t>
      </w:r>
    </w:p>
    <w:p/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Файл с подробным медиа-планом: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есть</w:t>
      </w:r>
    </w:p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"Софинансирование"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"Собственные средства"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Перечень расходов: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Аренда помещения общеобразовательного учреждения для проведения SMMены двух наук "ХимБио"</w:t>
      </w:r>
    </w:p>
    <w:p/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Добавить: </w:t>
      </w:r>
    </w:p>
    <w:p/>
    <w:p/>
    <w:p>
      <w:r>
        <w:rPr>
          <w:rFonts w:ascii="Tahoma" w:hAnsi="Tahoma" w:eastAsia="Tahoma" w:cs="Tahoma"/>
          <w:b/>
          <w:bCs/>
          <w:sz w:val="36"/>
          <w:szCs w:val="36"/>
        </w:rPr>
        <w:t>Блок "Партнер"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Перечень расходов: </w:t>
      </w:r>
    </w:p>
    <w:p/>
    <w:p/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"Расходы"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 xml:space="preserve">Общая сумма расходов: </w:t>
      </w:r>
    </w:p>
    <w:p>
      <w:r>
        <w:rPr>
          <w:rFonts w:ascii="Tahoma" w:hAnsi="Tahoma" w:eastAsia="Tahoma" w:cs="Tahoma"/>
          <w:b w:val="0"/>
          <w:bCs w:val="0"/>
          <w:sz w:val="26"/>
          <w:szCs w:val="26"/>
        </w:rPr>
        <w:t>360 000,00 руб.</w:t>
      </w:r>
    </w:p>
    <w:p/>
    <w:p>
      <w:r>
        <w:rPr>
          <w:rFonts w:ascii="Tahoma" w:hAnsi="Tahoma" w:eastAsia="Tahoma" w:cs="Tahoma"/>
          <w:b/>
          <w:bCs/>
          <w:sz w:val="40"/>
          <w:szCs w:val="40"/>
        </w:rPr>
        <w:t>Категория "Канцелярия и расходные материалы"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Тип "Товар"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бумага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Бумага для распечатки раздаточного материала -5 упаковок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2 075,00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2 075,00 руб.</w:t>
      </w:r>
    </w:p>
    <w:p/>
    <w:p>
      <w:r>
        <w:rPr>
          <w:rFonts w:ascii="Tahoma" w:hAnsi="Tahoma" w:eastAsia="Tahoma" w:cs="Tahoma"/>
          <w:b/>
          <w:bCs/>
          <w:sz w:val="40"/>
          <w:szCs w:val="40"/>
        </w:rPr>
        <w:t>Категория "Полиграфическая продукция"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Тип "Услуга"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Полиграфическая продукция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Товары для реализации проекта: Грамоты - 30 шт., Благодарственные письма - 30 шт.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2 100,00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2 100,00 руб.</w:t>
      </w:r>
    </w:p>
    <w:p/>
    <w:p>
      <w:r>
        <w:rPr>
          <w:rFonts w:ascii="Tahoma" w:hAnsi="Tahoma" w:eastAsia="Tahoma" w:cs="Tahoma"/>
          <w:b/>
          <w:bCs/>
          <w:sz w:val="40"/>
          <w:szCs w:val="40"/>
        </w:rPr>
        <w:t>Категория "Подарки, сувенирная продукция"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Тип "Товар"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Подарочная продукция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Для раздачи участникам: кубок - 6 шт., медаль - 18т шт., ручка - 70 шт., блокнот - 70 шт., браслет - 70 шт., бейдж - 70 шт., папка - 70 шт., книга - 21 шт., футболка - 70 шт., медали - 15  шт.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154 075,00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154 075,00 руб.</w:t>
      </w:r>
    </w:p>
    <w:p/>
    <w:p>
      <w:r>
        <w:rPr>
          <w:rFonts w:ascii="Tahoma" w:hAnsi="Tahoma" w:eastAsia="Tahoma" w:cs="Tahoma"/>
          <w:b/>
          <w:bCs/>
          <w:sz w:val="40"/>
          <w:szCs w:val="40"/>
        </w:rPr>
        <w:t>Категория "Проживание и питание"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Тип "Услуга"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кофе- брейк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Организация кофе- брейк для участников, жюри и приглашенных 70 гостей на 3 дня.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21 000,00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21 000,00 руб.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2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горячее питание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Организация горячего питания для участников смены 70 человек на 3 дня 2-х разовое.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70 000,00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70 000,00 руб.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3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проживание участников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Проживание участников, жюри и приглашенных гостей 20 человек, на 2 суток.Количество - 1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50 000,00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50 000,00 руб.</w:t>
      </w:r>
    </w:p>
    <w:p/>
    <w:p>
      <w:r>
        <w:rPr>
          <w:rFonts w:ascii="Tahoma" w:hAnsi="Tahoma" w:eastAsia="Tahoma" w:cs="Tahoma"/>
          <w:b/>
          <w:bCs/>
          <w:sz w:val="40"/>
          <w:szCs w:val="40"/>
        </w:rPr>
        <w:t>Категория "Транспортные расходы"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Тип "Услуга"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приобретение авиа билетов для жюри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Приобретение авиабилетов Санкт-Петербург-Сургут-Санкт-Петербург и Москва-Сургут-Москва для 2-х человек. Всего 4 билета.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32 000,00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32 000,00 руб.</w:t>
      </w:r>
    </w:p>
    <w:p/>
    <w:p>
      <w:r>
        <w:rPr>
          <w:rFonts w:ascii="Tahoma" w:hAnsi="Tahoma" w:eastAsia="Tahoma" w:cs="Tahoma"/>
          <w:b/>
          <w:bCs/>
          <w:sz w:val="40"/>
          <w:szCs w:val="40"/>
        </w:rPr>
        <w:t>Категория "Дополнительные услуги и товары для проекта"</w:t>
      </w:r>
    </w:p>
    <w:p/>
    <w:p>
      <w:r>
        <w:rPr>
          <w:rFonts w:ascii="Tahoma" w:hAnsi="Tahoma" w:eastAsia="Tahoma" w:cs="Tahoma"/>
          <w:b/>
          <w:bCs/>
          <w:sz w:val="36"/>
          <w:szCs w:val="36"/>
        </w:rPr>
        <w:t>Тип "Товар"</w:t>
      </w:r>
    </w:p>
    <w:p/>
    <w:p>
      <w:r>
        <w:rPr>
          <w:rFonts w:ascii="Tahoma" w:hAnsi="Tahoma" w:eastAsia="Tahoma" w:cs="Tahoma"/>
          <w:b/>
          <w:bCs/>
          <w:sz w:val="28"/>
          <w:szCs w:val="28"/>
        </w:rPr>
        <w:t>Запись № 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Название: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Товары для реализации проекта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Описание: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штангельциркуль - 5 шт., бинокуляр - 2 шт., Набор хирургических инструментов - 4 шт., Презентер - 3 шт.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Количество: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1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Цена: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28 750,00 руб.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Сумма: </w:t>
      </w:r>
      <w:r>
        <w:rPr>
          <w:rFonts w:ascii="Tahoma" w:hAnsi="Tahoma" w:eastAsia="Tahoma" w:cs="Tahoma"/>
          <w:b w:val="0"/>
          <w:bCs w:val="0"/>
          <w:sz w:val="26"/>
          <w:szCs w:val="26"/>
        </w:rPr>
        <w:t>28 750,00 руб.</w:t>
      </w:r>
    </w:p>
    <w:p>
      <w:r>
        <w:br w:type="page"/>
      </w:r>
    </w:p>
    <w:p>
      <w:r>
        <w:rPr>
          <w:rFonts w:ascii="Tahoma" w:hAnsi="Tahoma" w:eastAsia="Tahoma" w:cs="Tahoma"/>
          <w:b/>
          <w:bCs/>
          <w:sz w:val="40"/>
          <w:szCs w:val="40"/>
        </w:rPr>
        <w:t>Вкладка "Доп. Файлы"</w:t>
      </w:r>
    </w:p>
    <w:p>
      <w:r>
        <w:rPr>
          <w:rFonts w:ascii="Tahoma" w:hAnsi="Tahoma" w:eastAsia="Tahoma" w:cs="Tahoma"/>
          <w:b/>
          <w:bCs/>
          <w:sz w:val="36"/>
          <w:szCs w:val="36"/>
        </w:rPr>
        <w:t>Блок "Файл"</w:t>
      </w:r>
    </w:p>
    <w:p>
      <w:r>
        <w:rPr>
          <w:rFonts w:ascii="Tahoma" w:hAnsi="Tahoma" w:eastAsia="Tahoma" w:cs="Tahoma"/>
          <w:b/>
          <w:bCs/>
          <w:sz w:val="26"/>
          <w:szCs w:val="26"/>
        </w:rPr>
        <w:t xml:space="preserve">Добавить: </w:t>
      </w:r>
    </w:p>
    <w:p/>
    <w:p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2023-12-29T08:05:00Z</dcterms:created>
  <dc:creator>Morozova_EN</dc:creator>
  <cp:lastModifiedBy>Morozova_EN</cp:lastModifiedBy>
  <dcterms:modified xsi:type="dcterms:W3CDTF">2023-12-29T05:08:57Z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B6AD97209DFB44FAA8BA293CA5129FE7_13</vt:lpwstr>
  </property>
</Properties>
</file>